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BB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12867B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489892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483CA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51FFF0C8">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cs="Times New Roman"/>
          <w:b/>
          <w:color w:val="auto"/>
          <w:sz w:val="48"/>
          <w:szCs w:val="48"/>
          <w:highlight w:val="none"/>
          <w:lang w:val="en-US" w:eastAsia="zh-CN"/>
        </w:rPr>
      </w:pPr>
      <w:r>
        <w:rPr>
          <w:rFonts w:hint="eastAsia" w:cs="Times New Roman"/>
          <w:b/>
          <w:color w:val="auto"/>
          <w:sz w:val="48"/>
          <w:szCs w:val="48"/>
          <w:highlight w:val="none"/>
          <w:lang w:val="en-US" w:eastAsia="zh-CN"/>
        </w:rPr>
        <w:t>精武镇才智道九年一贯制学校地块</w:t>
      </w:r>
    </w:p>
    <w:p w14:paraId="16951D13">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ascii="Times New Roman" w:hAnsi="Times New Roman" w:cs="Times New Roman"/>
          <w:b/>
          <w:color w:val="auto"/>
          <w:sz w:val="48"/>
          <w:szCs w:val="48"/>
          <w:highlight w:val="none"/>
        </w:rPr>
      </w:pPr>
      <w:r>
        <w:rPr>
          <w:rFonts w:hint="default" w:ascii="Times New Roman" w:hAnsi="Times New Roman" w:cs="Times New Roman"/>
          <w:b/>
          <w:color w:val="auto"/>
          <w:sz w:val="48"/>
          <w:szCs w:val="48"/>
          <w:highlight w:val="none"/>
          <w:lang w:eastAsia="zh-CN"/>
        </w:rPr>
        <w:t>土壤污染状况调查报告</w:t>
      </w:r>
    </w:p>
    <w:p w14:paraId="693041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7A9A0A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4BE1B2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24BE61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71B99C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31F052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12F30B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4E11B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3B135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3F527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F0011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2E7903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791578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43505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339549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32ADA3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1F450D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EA96561">
      <w:pPr>
        <w:keepNext w:val="0"/>
        <w:keepLines w:val="0"/>
        <w:pageBreakBefore w:val="0"/>
        <w:widowControl w:val="0"/>
        <w:kinsoku/>
        <w:wordWrap/>
        <w:overflowPunct/>
        <w:topLinePunct w:val="0"/>
        <w:autoSpaceDE/>
        <w:autoSpaceDN/>
        <w:bidi w:val="0"/>
        <w:adjustRightInd w:val="0"/>
        <w:snapToGrid w:val="0"/>
        <w:spacing w:before="0" w:beforeLines="0" w:after="0" w:afterLines="0"/>
        <w:jc w:val="center"/>
        <w:textAlignment w:val="auto"/>
        <w:rPr>
          <w:rFonts w:hint="default" w:ascii="Times New Roman" w:hAnsi="Times New Roman" w:eastAsia="宋体" w:cs="Times New Roman"/>
          <w:b/>
          <w:bCs/>
          <w:color w:val="auto"/>
          <w:sz w:val="32"/>
          <w:szCs w:val="32"/>
          <w:highlight w:val="none"/>
          <w:lang w:val="en-US" w:eastAsia="zh-CN"/>
        </w:rPr>
      </w:pPr>
      <w:r>
        <w:rPr>
          <w:rFonts w:hint="eastAsia" w:cs="Times New Roman"/>
          <w:b/>
          <w:bCs/>
          <w:color w:val="auto"/>
          <w:sz w:val="32"/>
          <w:szCs w:val="32"/>
          <w:highlight w:val="none"/>
          <w:lang w:val="en-US" w:eastAsia="zh-CN"/>
        </w:rPr>
        <w:t>委托</w:t>
      </w:r>
      <w:r>
        <w:rPr>
          <w:rFonts w:hint="default" w:ascii="Times New Roman" w:hAnsi="Times New Roman" w:cs="Times New Roman"/>
          <w:b/>
          <w:bCs/>
          <w:color w:val="auto"/>
          <w:sz w:val="32"/>
          <w:szCs w:val="32"/>
          <w:highlight w:val="none"/>
          <w:lang w:eastAsia="zh-CN"/>
        </w:rPr>
        <w:t>单位：</w:t>
      </w:r>
      <w:r>
        <w:rPr>
          <w:rFonts w:hint="eastAsia" w:cs="Times New Roman"/>
          <w:b/>
          <w:bCs/>
          <w:color w:val="auto"/>
          <w:sz w:val="32"/>
          <w:szCs w:val="32"/>
          <w:highlight w:val="none"/>
          <w:lang w:val="en-US" w:eastAsia="zh-CN"/>
        </w:rPr>
        <w:t>天津市西青区精武镇人民政府</w:t>
      </w:r>
    </w:p>
    <w:p w14:paraId="5D242073">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1606" w:firstLineChars="500"/>
        <w:jc w:val="both"/>
        <w:textAlignment w:val="auto"/>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val="en-US" w:eastAsia="zh-CN"/>
        </w:rPr>
        <w:t>编制单位：</w:t>
      </w:r>
      <w:r>
        <w:rPr>
          <w:rFonts w:hint="default" w:ascii="Times New Roman" w:hAnsi="Times New Roman" w:eastAsia="宋体" w:cs="Times New Roman"/>
          <w:b/>
          <w:bCs/>
          <w:color w:val="auto"/>
          <w:sz w:val="32"/>
          <w:szCs w:val="32"/>
          <w:highlight w:val="none"/>
          <w:lang w:eastAsia="zh-CN"/>
        </w:rPr>
        <w:t>天津市测绘院有限公司</w:t>
      </w:r>
    </w:p>
    <w:p w14:paraId="7381570B">
      <w:pPr>
        <w:bidi w:val="0"/>
        <w:rPr>
          <w:rFonts w:hint="default"/>
          <w:lang w:eastAsia="zh-CN"/>
        </w:rPr>
      </w:pPr>
    </w:p>
    <w:p w14:paraId="3ABEAA1A">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ascii="Times New Roman" w:hAnsi="Times New Roman" w:eastAsia="宋体" w:cs="Times New Roman"/>
          <w:b/>
          <w:bCs/>
          <w:color w:val="auto"/>
          <w:sz w:val="32"/>
          <w:szCs w:val="32"/>
          <w:highlight w:val="none"/>
          <w:lang w:eastAsia="zh-CN"/>
        </w:rPr>
      </w:pPr>
      <w:bookmarkStart w:id="0" w:name="_Toc460576939"/>
      <w:bookmarkStart w:id="1" w:name="_Toc495492620"/>
      <w:bookmarkStart w:id="2" w:name="_Toc461973534"/>
      <w:bookmarkStart w:id="3" w:name="_Toc508761083"/>
      <w:bookmarkStart w:id="4" w:name="_Toc463782753"/>
      <w:bookmarkStart w:id="5" w:name="_Toc463771342"/>
      <w:bookmarkStart w:id="6" w:name="_Toc460831800"/>
      <w:bookmarkStart w:id="7" w:name="_Toc462839874"/>
      <w:bookmarkStart w:id="8" w:name="_Toc460598460"/>
      <w:bookmarkStart w:id="9" w:name="_Toc463772205"/>
      <w:bookmarkStart w:id="10" w:name="_Toc460958473"/>
      <w:bookmarkStart w:id="11" w:name="_Toc461114040"/>
      <w:bookmarkStart w:id="12" w:name="_Toc6845"/>
      <w:bookmarkStart w:id="13" w:name="_Toc462922943"/>
      <w:bookmarkStart w:id="14" w:name="_Toc460679997"/>
      <w:bookmarkStart w:id="15" w:name="_Toc508848309"/>
      <w:bookmarkStart w:id="16" w:name="_Toc495500574"/>
      <w:bookmarkStart w:id="17" w:name="_Toc462841684"/>
      <w:r>
        <w:rPr>
          <w:rFonts w:hint="default" w:ascii="Times New Roman" w:hAnsi="Times New Roman" w:eastAsia="宋体" w:cs="Times New Roman"/>
          <w:b/>
          <w:bCs/>
          <w:color w:val="auto"/>
          <w:sz w:val="32"/>
          <w:szCs w:val="32"/>
          <w:highlight w:val="none"/>
          <w:lang w:val="en-US" w:eastAsia="zh-CN"/>
        </w:rPr>
        <w:t>二零二</w:t>
      </w:r>
      <w:r>
        <w:rPr>
          <w:rFonts w:hint="eastAsia" w:ascii="Times New Roman" w:hAnsi="Times New Roman" w:eastAsia="宋体" w:cs="Times New Roman"/>
          <w:b/>
          <w:bCs/>
          <w:color w:val="auto"/>
          <w:sz w:val="32"/>
          <w:szCs w:val="32"/>
          <w:highlight w:val="none"/>
          <w:lang w:val="en-US" w:eastAsia="zh-CN"/>
        </w:rPr>
        <w:t>五</w:t>
      </w:r>
      <w:r>
        <w:rPr>
          <w:rFonts w:hint="default" w:ascii="Times New Roman" w:hAnsi="Times New Roman" w:eastAsia="宋体" w:cs="Times New Roman"/>
          <w:b/>
          <w:bCs/>
          <w:color w:val="auto"/>
          <w:sz w:val="32"/>
          <w:szCs w:val="32"/>
          <w:highlight w:val="none"/>
          <w:lang w:eastAsia="zh-CN"/>
        </w:rPr>
        <w:t>年</w:t>
      </w:r>
      <w:r>
        <w:rPr>
          <w:rFonts w:hint="eastAsia" w:ascii="Times New Roman" w:hAnsi="Times New Roman" w:eastAsia="宋体" w:cs="Times New Roman"/>
          <w:b/>
          <w:bCs/>
          <w:color w:val="auto"/>
          <w:sz w:val="32"/>
          <w:szCs w:val="32"/>
          <w:highlight w:val="none"/>
          <w:lang w:val="en-US" w:eastAsia="zh-CN"/>
        </w:rPr>
        <w:t>八</w:t>
      </w:r>
      <w:r>
        <w:rPr>
          <w:rFonts w:hint="default" w:ascii="Times New Roman" w:hAnsi="Times New Roman" w:eastAsia="宋体" w:cs="Times New Roman"/>
          <w:b/>
          <w:bCs/>
          <w:color w:val="auto"/>
          <w:sz w:val="32"/>
          <w:szCs w:val="32"/>
          <w:highlight w:val="none"/>
          <w:lang w:eastAsia="zh-CN"/>
        </w:rPr>
        <w:t>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A8ED0F1">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both"/>
        <w:textAlignment w:val="auto"/>
        <w:rPr>
          <w:rFonts w:hint="default" w:ascii="Times New Roman" w:hAnsi="Times New Roman" w:cs="Times New Roman"/>
          <w:color w:val="auto"/>
          <w:highlight w:val="none"/>
        </w:rPr>
      </w:pPr>
    </w:p>
    <w:p w14:paraId="483025DB">
      <w:pPr>
        <w:spacing w:line="240" w:lineRule="auto"/>
        <w:ind w:firstLine="0" w:firstLineChars="0"/>
        <w:jc w:val="center"/>
        <w:rPr>
          <w:rFonts w:hint="default" w:ascii="Times New Roman" w:hAnsi="Times New Roman" w:eastAsia="宋体" w:cs="Times New Roman"/>
          <w:b/>
          <w:bCs/>
          <w:color w:val="auto"/>
          <w:sz w:val="28"/>
          <w:szCs w:val="28"/>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21667018">
      <w:pPr>
        <w:ind w:left="0" w:leftChars="0" w:firstLine="0" w:firstLineChars="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项目名称：</w:t>
      </w:r>
      <w:r>
        <w:rPr>
          <w:rFonts w:hint="eastAsia" w:eastAsia="宋体" w:cs="Times New Roman"/>
          <w:color w:val="auto"/>
          <w:sz w:val="28"/>
          <w:szCs w:val="28"/>
          <w:highlight w:val="none"/>
          <w:lang w:val="en-US" w:eastAsia="zh-CN"/>
        </w:rPr>
        <w:t>精武镇才智道九年一贯制学校地块</w:t>
      </w:r>
      <w:r>
        <w:rPr>
          <w:rFonts w:hint="default" w:ascii="Times New Roman" w:hAnsi="Times New Roman" w:eastAsia="宋体" w:cs="Times New Roman"/>
          <w:color w:val="auto"/>
          <w:sz w:val="28"/>
          <w:szCs w:val="28"/>
          <w:highlight w:val="none"/>
        </w:rPr>
        <w:t>土壤污染状况调查</w:t>
      </w:r>
    </w:p>
    <w:p w14:paraId="10399862">
      <w:pPr>
        <w:ind w:left="0" w:leftChars="0" w:firstLine="0" w:firstLineChars="0"/>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委托</w:t>
      </w:r>
      <w:r>
        <w:rPr>
          <w:rFonts w:hint="default" w:ascii="Times New Roman" w:hAnsi="Times New Roman" w:eastAsia="宋体" w:cs="Times New Roman"/>
          <w:color w:val="auto"/>
          <w:sz w:val="28"/>
          <w:szCs w:val="28"/>
          <w:highlight w:val="none"/>
        </w:rPr>
        <w:t>单位：</w:t>
      </w:r>
      <w:r>
        <w:rPr>
          <w:rFonts w:hint="eastAsia" w:eastAsia="宋体" w:cs="Times New Roman"/>
          <w:color w:val="auto"/>
          <w:sz w:val="28"/>
          <w:szCs w:val="28"/>
          <w:highlight w:val="none"/>
          <w:lang w:val="en-US" w:eastAsia="zh-CN"/>
        </w:rPr>
        <w:t>天津市西青区精武镇人民政府</w:t>
      </w:r>
    </w:p>
    <w:p w14:paraId="0EA71428">
      <w:pPr>
        <w:ind w:left="0" w:leftChars="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编制单位：天津市测绘院有限公司</w:t>
      </w:r>
    </w:p>
    <w:p w14:paraId="7A3162EB">
      <w:pPr>
        <w:ind w:firstLine="56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参与人员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58"/>
        <w:gridCol w:w="4000"/>
        <w:gridCol w:w="1723"/>
      </w:tblGrid>
      <w:tr w14:paraId="1A3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8" w:type="pct"/>
            <w:noWrap w:val="0"/>
            <w:vAlign w:val="center"/>
          </w:tcPr>
          <w:p w14:paraId="328A92E0">
            <w:pPr>
              <w:spacing w:line="240" w:lineRule="auto"/>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姓名</w:t>
            </w:r>
          </w:p>
        </w:tc>
        <w:tc>
          <w:tcPr>
            <w:tcW w:w="914" w:type="pct"/>
            <w:noWrap w:val="0"/>
            <w:vAlign w:val="center"/>
          </w:tcPr>
          <w:p w14:paraId="6763454A">
            <w:pPr>
              <w:spacing w:line="240" w:lineRule="auto"/>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职称</w:t>
            </w:r>
          </w:p>
        </w:tc>
        <w:tc>
          <w:tcPr>
            <w:tcW w:w="2346" w:type="pct"/>
            <w:noWrap w:val="0"/>
            <w:vAlign w:val="center"/>
          </w:tcPr>
          <w:p w14:paraId="319F1001">
            <w:pPr>
              <w:spacing w:line="240" w:lineRule="auto"/>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职责分工</w:t>
            </w:r>
          </w:p>
        </w:tc>
        <w:tc>
          <w:tcPr>
            <w:tcW w:w="1010" w:type="pct"/>
            <w:noWrap w:val="0"/>
            <w:vAlign w:val="center"/>
          </w:tcPr>
          <w:p w14:paraId="35FE6D42">
            <w:pPr>
              <w:spacing w:line="240" w:lineRule="auto"/>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签字</w:t>
            </w:r>
          </w:p>
        </w:tc>
      </w:tr>
      <w:tr w14:paraId="7A34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728" w:type="pct"/>
            <w:noWrap w:val="0"/>
            <w:vAlign w:val="center"/>
          </w:tcPr>
          <w:p w14:paraId="5CCF0997">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张昊</w:t>
            </w:r>
          </w:p>
        </w:tc>
        <w:tc>
          <w:tcPr>
            <w:tcW w:w="914" w:type="pct"/>
            <w:noWrap w:val="0"/>
            <w:vAlign w:val="center"/>
          </w:tcPr>
          <w:p w14:paraId="273B2E9E">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高级工程师</w:t>
            </w:r>
          </w:p>
        </w:tc>
        <w:tc>
          <w:tcPr>
            <w:tcW w:w="2346" w:type="pct"/>
            <w:noWrap w:val="0"/>
            <w:vAlign w:val="center"/>
          </w:tcPr>
          <w:p w14:paraId="472F4DB9">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rPr>
              <w:t>项目负责人、</w:t>
            </w:r>
            <w:r>
              <w:rPr>
                <w:rFonts w:hint="default" w:ascii="Times New Roman" w:hAnsi="Times New Roman" w:eastAsia="宋体" w:cs="Times New Roman"/>
                <w:color w:val="auto"/>
                <w:highlight w:val="none"/>
                <w:lang w:val="en-US" w:eastAsia="zh-CN"/>
              </w:rPr>
              <w:t>调查方案制定、人员访谈</w:t>
            </w:r>
            <w:r>
              <w:rPr>
                <w:rFonts w:hint="eastAsia"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报告</w:t>
            </w:r>
            <w:r>
              <w:rPr>
                <w:rFonts w:hint="eastAsia" w:ascii="Times New Roman" w:hAnsi="Times New Roman" w:eastAsia="宋体" w:cs="Times New Roman"/>
                <w:color w:val="auto"/>
                <w:highlight w:val="none"/>
                <w:lang w:val="en-US" w:eastAsia="zh-CN"/>
              </w:rPr>
              <w:t>编写、</w:t>
            </w:r>
            <w:r>
              <w:rPr>
                <w:rFonts w:hint="default" w:ascii="Times New Roman" w:hAnsi="Times New Roman" w:eastAsia="宋体" w:cs="Times New Roman"/>
                <w:color w:val="auto"/>
                <w:highlight w:val="none"/>
                <w:lang w:val="en-US" w:eastAsia="zh-CN"/>
              </w:rPr>
              <w:t>污染识别</w:t>
            </w:r>
          </w:p>
        </w:tc>
        <w:tc>
          <w:tcPr>
            <w:tcW w:w="1010" w:type="pct"/>
            <w:noWrap w:val="0"/>
            <w:vAlign w:val="center"/>
          </w:tcPr>
          <w:p w14:paraId="01E549D5">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r>
      <w:tr w14:paraId="6599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728" w:type="pct"/>
            <w:noWrap w:val="0"/>
            <w:vAlign w:val="center"/>
          </w:tcPr>
          <w:p w14:paraId="27AF49A3">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姜平</w:t>
            </w:r>
          </w:p>
        </w:tc>
        <w:tc>
          <w:tcPr>
            <w:tcW w:w="914" w:type="pct"/>
            <w:noWrap w:val="0"/>
            <w:vAlign w:val="center"/>
          </w:tcPr>
          <w:p w14:paraId="505688FC">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rPr>
              <w:t>工程师</w:t>
            </w:r>
          </w:p>
        </w:tc>
        <w:tc>
          <w:tcPr>
            <w:tcW w:w="2346" w:type="pct"/>
            <w:noWrap w:val="0"/>
            <w:vAlign w:val="center"/>
          </w:tcPr>
          <w:p w14:paraId="5A1818CA">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现场踏勘、</w:t>
            </w:r>
            <w:r>
              <w:rPr>
                <w:rFonts w:hint="eastAsia" w:ascii="Times New Roman" w:hAnsi="Times New Roman" w:eastAsia="宋体" w:cs="Times New Roman"/>
                <w:color w:val="auto"/>
                <w:highlight w:val="none"/>
                <w:lang w:val="en-US" w:eastAsia="zh-CN"/>
              </w:rPr>
              <w:t>人员访谈、</w:t>
            </w:r>
            <w:r>
              <w:rPr>
                <w:rFonts w:hint="eastAsia" w:eastAsia="宋体" w:cs="Times New Roman"/>
                <w:color w:val="auto"/>
                <w:highlight w:val="none"/>
                <w:lang w:val="en-US" w:eastAsia="zh-CN"/>
              </w:rPr>
              <w:t>地块污染概念模型建立</w:t>
            </w:r>
            <w:r>
              <w:rPr>
                <w:rFonts w:hint="default"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数据分析、质量保证与质量控制、报告编写</w:t>
            </w:r>
          </w:p>
        </w:tc>
        <w:tc>
          <w:tcPr>
            <w:tcW w:w="1010" w:type="pct"/>
            <w:noWrap w:val="0"/>
            <w:vAlign w:val="center"/>
          </w:tcPr>
          <w:p w14:paraId="3CA70FD8">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r>
      <w:tr w14:paraId="321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728" w:type="pct"/>
            <w:noWrap w:val="0"/>
            <w:vAlign w:val="center"/>
          </w:tcPr>
          <w:p w14:paraId="4667193B">
            <w:pPr>
              <w:spacing w:line="240" w:lineRule="auto"/>
              <w:ind w:firstLine="0" w:firstLineChars="0"/>
              <w:jc w:val="center"/>
              <w:rPr>
                <w:rFonts w:hint="default"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孙艳</w:t>
            </w:r>
          </w:p>
        </w:tc>
        <w:tc>
          <w:tcPr>
            <w:tcW w:w="914" w:type="pct"/>
            <w:noWrap w:val="0"/>
            <w:vAlign w:val="center"/>
          </w:tcPr>
          <w:p w14:paraId="7B4337F5">
            <w:pPr>
              <w:spacing w:line="240" w:lineRule="auto"/>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工程师</w:t>
            </w:r>
          </w:p>
        </w:tc>
        <w:tc>
          <w:tcPr>
            <w:tcW w:w="2346" w:type="pct"/>
            <w:noWrap w:val="0"/>
            <w:vAlign w:val="center"/>
          </w:tcPr>
          <w:p w14:paraId="50638616">
            <w:pPr>
              <w:spacing w:line="240" w:lineRule="auto"/>
              <w:ind w:firstLine="0" w:firstLineChars="0"/>
              <w:jc w:val="center"/>
              <w:rPr>
                <w:rFonts w:hint="default"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资料收集、图件制作</w:t>
            </w:r>
          </w:p>
        </w:tc>
        <w:tc>
          <w:tcPr>
            <w:tcW w:w="1010" w:type="pct"/>
            <w:noWrap w:val="0"/>
            <w:vAlign w:val="center"/>
          </w:tcPr>
          <w:p w14:paraId="739AA301">
            <w:pPr>
              <w:spacing w:line="240" w:lineRule="auto"/>
              <w:ind w:firstLine="0" w:firstLineChars="0"/>
              <w:jc w:val="center"/>
            </w:pPr>
          </w:p>
        </w:tc>
      </w:tr>
      <w:tr w14:paraId="5914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728" w:type="pct"/>
            <w:noWrap w:val="0"/>
            <w:vAlign w:val="center"/>
          </w:tcPr>
          <w:p w14:paraId="79D680FE">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吕会义</w:t>
            </w:r>
          </w:p>
        </w:tc>
        <w:tc>
          <w:tcPr>
            <w:tcW w:w="914" w:type="pct"/>
            <w:noWrap w:val="0"/>
            <w:vAlign w:val="center"/>
          </w:tcPr>
          <w:p w14:paraId="35E8977E">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高级工程师</w:t>
            </w:r>
          </w:p>
        </w:tc>
        <w:tc>
          <w:tcPr>
            <w:tcW w:w="2346" w:type="pct"/>
            <w:noWrap w:val="0"/>
            <w:vAlign w:val="center"/>
          </w:tcPr>
          <w:p w14:paraId="1AF58B22">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报告审核</w:t>
            </w:r>
          </w:p>
        </w:tc>
        <w:tc>
          <w:tcPr>
            <w:tcW w:w="1010" w:type="pct"/>
            <w:noWrap w:val="0"/>
            <w:vAlign w:val="center"/>
          </w:tcPr>
          <w:p w14:paraId="3B8A1E1A">
            <w:pPr>
              <w:spacing w:line="240" w:lineRule="auto"/>
              <w:ind w:firstLine="0" w:firstLineChars="0"/>
              <w:jc w:val="center"/>
              <w:rPr>
                <w:rFonts w:hint="default" w:ascii="Times New Roman" w:hAnsi="Times New Roman" w:eastAsia="宋体" w:cs="Times New Roman"/>
                <w:color w:val="auto"/>
                <w:highlight w:val="none"/>
                <w:lang w:eastAsia="zh-CN"/>
              </w:rPr>
            </w:pPr>
            <w:r>
              <w:drawing>
                <wp:anchor distT="0" distB="0" distL="114300" distR="114300" simplePos="0" relativeHeight="251661312" behindDoc="0" locked="0" layoutInCell="1" allowOverlap="1">
                  <wp:simplePos x="0" y="0"/>
                  <wp:positionH relativeFrom="column">
                    <wp:posOffset>3625850</wp:posOffset>
                  </wp:positionH>
                  <wp:positionV relativeFrom="paragraph">
                    <wp:posOffset>250190</wp:posOffset>
                  </wp:positionV>
                  <wp:extent cx="1352550" cy="520700"/>
                  <wp:effectExtent l="0" t="0" r="6350" b="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4"/>
                          <a:stretch>
                            <a:fillRect/>
                          </a:stretch>
                        </pic:blipFill>
                        <pic:spPr>
                          <a:xfrm>
                            <a:off x="0" y="0"/>
                            <a:ext cx="1352550" cy="520700"/>
                          </a:xfrm>
                          <a:prstGeom prst="rect">
                            <a:avLst/>
                          </a:prstGeom>
                          <a:noFill/>
                          <a:ln>
                            <a:noFill/>
                          </a:ln>
                        </pic:spPr>
                      </pic:pic>
                    </a:graphicData>
                  </a:graphic>
                </wp:anchor>
              </w:drawing>
            </w:r>
          </w:p>
        </w:tc>
      </w:tr>
      <w:tr w14:paraId="72CF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28" w:type="pct"/>
            <w:noWrap w:val="0"/>
            <w:vAlign w:val="center"/>
          </w:tcPr>
          <w:p w14:paraId="2EE4D2BE">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李军</w:t>
            </w:r>
          </w:p>
        </w:tc>
        <w:tc>
          <w:tcPr>
            <w:tcW w:w="914" w:type="pct"/>
            <w:noWrap w:val="0"/>
            <w:vAlign w:val="center"/>
          </w:tcPr>
          <w:p w14:paraId="77C13F2D">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高级工程师</w:t>
            </w:r>
          </w:p>
        </w:tc>
        <w:tc>
          <w:tcPr>
            <w:tcW w:w="2346" w:type="pct"/>
            <w:noWrap w:val="0"/>
            <w:vAlign w:val="center"/>
          </w:tcPr>
          <w:p w14:paraId="12F95571">
            <w:pPr>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报告审定</w:t>
            </w:r>
          </w:p>
        </w:tc>
        <w:tc>
          <w:tcPr>
            <w:tcW w:w="1010" w:type="pct"/>
            <w:noWrap w:val="0"/>
            <w:vAlign w:val="center"/>
          </w:tcPr>
          <w:p w14:paraId="2EC4F663">
            <w:pPr>
              <w:spacing w:line="240" w:lineRule="auto"/>
              <w:ind w:firstLine="0" w:firstLineChars="0"/>
              <w:jc w:val="center"/>
              <w:rPr>
                <w:rFonts w:hint="default" w:ascii="Times New Roman" w:hAnsi="Times New Roman" w:eastAsia="宋体" w:cs="Times New Roman"/>
                <w:color w:val="auto"/>
                <w:highlight w:val="none"/>
                <w:lang w:eastAsia="zh-CN"/>
              </w:rPr>
            </w:pPr>
            <w:r>
              <w:drawing>
                <wp:anchor distT="0" distB="0" distL="114300" distR="114300" simplePos="0" relativeHeight="251660288" behindDoc="0" locked="0" layoutInCell="1" allowOverlap="1">
                  <wp:simplePos x="0" y="0"/>
                  <wp:positionH relativeFrom="column">
                    <wp:posOffset>3689350</wp:posOffset>
                  </wp:positionH>
                  <wp:positionV relativeFrom="paragraph">
                    <wp:posOffset>403860</wp:posOffset>
                  </wp:positionV>
                  <wp:extent cx="584200" cy="588010"/>
                  <wp:effectExtent l="0" t="0" r="0" b="889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84200" cy="58801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3536950</wp:posOffset>
                  </wp:positionH>
                  <wp:positionV relativeFrom="paragraph">
                    <wp:posOffset>251460</wp:posOffset>
                  </wp:positionV>
                  <wp:extent cx="584200" cy="588010"/>
                  <wp:effectExtent l="0" t="0" r="0" b="889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5"/>
                          <a:stretch>
                            <a:fillRect/>
                          </a:stretch>
                        </pic:blipFill>
                        <pic:spPr>
                          <a:xfrm>
                            <a:off x="0" y="0"/>
                            <a:ext cx="584200" cy="588010"/>
                          </a:xfrm>
                          <a:prstGeom prst="rect">
                            <a:avLst/>
                          </a:prstGeom>
                          <a:noFill/>
                          <a:ln>
                            <a:noFill/>
                          </a:ln>
                        </pic:spPr>
                      </pic:pic>
                    </a:graphicData>
                  </a:graphic>
                </wp:anchor>
              </w:drawing>
            </w:r>
          </w:p>
        </w:tc>
      </w:tr>
    </w:tbl>
    <w:p w14:paraId="2C7EFD72">
      <w:pPr>
        <w:rPr>
          <w:rFonts w:hint="eastAsia"/>
          <w:lang w:val="en-US" w:eastAsia="zh-CN"/>
        </w:rPr>
      </w:pPr>
    </w:p>
    <w:p w14:paraId="66AA1735">
      <w:pPr>
        <w:rPr>
          <w:rFonts w:hint="eastAsia"/>
          <w:lang w:val="en-US" w:eastAsia="zh-CN"/>
        </w:rPr>
      </w:pPr>
    </w:p>
    <w:p w14:paraId="421F2878">
      <w:pPr>
        <w:rPr>
          <w:rFonts w:hint="eastAsia"/>
          <w:lang w:val="en-US" w:eastAsia="zh-CN"/>
        </w:rPr>
      </w:pPr>
    </w:p>
    <w:p w14:paraId="0B711AB2">
      <w:pPr>
        <w:rPr>
          <w:rFonts w:hint="eastAsia"/>
          <w:lang w:val="en-US" w:eastAsia="zh-CN"/>
        </w:rPr>
      </w:pPr>
    </w:p>
    <w:p w14:paraId="692C4758">
      <w:pPr>
        <w:rPr>
          <w:rFonts w:hint="eastAsia"/>
          <w:lang w:val="en-US" w:eastAsia="zh-CN"/>
        </w:rPr>
      </w:pPr>
    </w:p>
    <w:p w14:paraId="5491C5A3">
      <w:pPr>
        <w:rPr>
          <w:rFonts w:hint="eastAsia"/>
          <w:lang w:val="en-US" w:eastAsia="zh-CN"/>
        </w:rPr>
      </w:pPr>
    </w:p>
    <w:p w14:paraId="019E49F6">
      <w:pPr>
        <w:rPr>
          <w:rFonts w:hint="eastAsia"/>
          <w:lang w:val="en-US" w:eastAsia="zh-CN"/>
        </w:rPr>
      </w:pPr>
    </w:p>
    <w:p w14:paraId="154CC7A8">
      <w:pPr>
        <w:rPr>
          <w:rFonts w:hint="eastAsia"/>
          <w:lang w:val="en-US" w:eastAsia="zh-CN"/>
        </w:rPr>
      </w:pPr>
    </w:p>
    <w:p w14:paraId="3E62FB0C">
      <w:pPr>
        <w:rPr>
          <w:rFonts w:hint="eastAsia"/>
          <w:lang w:val="en-US" w:eastAsia="zh-CN"/>
        </w:rPr>
      </w:pPr>
    </w:p>
    <w:p w14:paraId="38E348EA">
      <w:pPr>
        <w:rPr>
          <w:rFonts w:hint="eastAsia"/>
          <w:lang w:val="en-US" w:eastAsia="zh-CN"/>
        </w:rPr>
      </w:pPr>
    </w:p>
    <w:p w14:paraId="15D17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lang w:val="en-US" w:eastAsia="zh-CN"/>
        </w:rPr>
      </w:pPr>
      <w:r>
        <w:rPr>
          <w:rFonts w:hint="default"/>
          <w:b/>
          <w:bCs/>
          <w:sz w:val="28"/>
          <w:szCs w:val="28"/>
          <w:lang w:val="en-US" w:eastAsia="zh-CN"/>
        </w:rPr>
        <w:t>摘 要</w:t>
      </w:r>
    </w:p>
    <w:p w14:paraId="5B270332">
      <w:pPr>
        <w:bidi w:val="0"/>
        <w:rPr>
          <w:rFonts w:hint="eastAsia"/>
          <w:lang w:val="en-US" w:eastAsia="zh-CN"/>
        </w:rPr>
      </w:pPr>
      <w:r>
        <w:rPr>
          <w:rFonts w:hint="default"/>
          <w:lang w:val="en-US" w:eastAsia="zh-CN"/>
        </w:rPr>
        <w:t>受</w:t>
      </w:r>
      <w:r>
        <w:rPr>
          <w:rFonts w:hint="eastAsia"/>
          <w:lang w:val="en-US" w:eastAsia="zh-CN"/>
        </w:rPr>
        <w:t>天津市西青区精武镇人民政府</w:t>
      </w:r>
      <w:r>
        <w:rPr>
          <w:rFonts w:hint="default"/>
          <w:lang w:val="en-US" w:eastAsia="zh-CN"/>
        </w:rPr>
        <w:t>委托，天津市测绘院有限公司承担了</w:t>
      </w:r>
      <w:r>
        <w:rPr>
          <w:rFonts w:hint="eastAsia"/>
          <w:lang w:val="en-US" w:eastAsia="zh-CN"/>
        </w:rPr>
        <w:t>精武镇才智道九年一贯制学校地块</w:t>
      </w:r>
      <w:r>
        <w:rPr>
          <w:rFonts w:hint="default"/>
          <w:lang w:val="en-US" w:eastAsia="zh-CN"/>
        </w:rPr>
        <w:t>土壤污染状况调查工作。根据国家、天津市相关法律法规及技术导则要求，天津市测绘院有限公司于202</w:t>
      </w:r>
      <w:r>
        <w:rPr>
          <w:rFonts w:hint="eastAsia"/>
          <w:lang w:val="en-US" w:eastAsia="zh-CN"/>
        </w:rPr>
        <w:t>4</w:t>
      </w:r>
      <w:r>
        <w:rPr>
          <w:rFonts w:hint="default"/>
          <w:lang w:val="en-US" w:eastAsia="zh-CN"/>
        </w:rPr>
        <w:t>年</w:t>
      </w:r>
      <w:r>
        <w:rPr>
          <w:rFonts w:hint="eastAsia"/>
          <w:lang w:val="en-US" w:eastAsia="zh-CN"/>
        </w:rPr>
        <w:t>9</w:t>
      </w:r>
      <w:r>
        <w:rPr>
          <w:rFonts w:hint="default"/>
          <w:lang w:val="en-US" w:eastAsia="zh-CN"/>
        </w:rPr>
        <w:t>月</w:t>
      </w:r>
      <w:r>
        <w:rPr>
          <w:rFonts w:hint="eastAsia"/>
          <w:lang w:val="en-US" w:eastAsia="zh-CN"/>
        </w:rPr>
        <w:t>至10月</w:t>
      </w:r>
      <w:r>
        <w:rPr>
          <w:rFonts w:hint="default"/>
          <w:lang w:val="en-US" w:eastAsia="zh-CN"/>
        </w:rPr>
        <w:t>对调查地块开展了土壤污染状况调查工作，编制了本地块土壤污染状况调查报告。</w:t>
      </w:r>
    </w:p>
    <w:p w14:paraId="1B59F14A">
      <w:pPr>
        <w:bidi w:val="0"/>
      </w:pPr>
      <w:r>
        <w:rPr>
          <w:rFonts w:hint="eastAsia"/>
          <w:lang w:val="en-US" w:eastAsia="zh-CN"/>
        </w:rPr>
        <w:t>精武镇才智道九年一贯制学校地块</w:t>
      </w:r>
      <w:r>
        <w:rPr>
          <w:rFonts w:hint="default"/>
        </w:rPr>
        <w:t>位于</w:t>
      </w:r>
      <w:r>
        <w:rPr>
          <w:rFonts w:hint="eastAsia"/>
          <w:lang w:val="en-US" w:eastAsia="zh-CN"/>
        </w:rPr>
        <w:t xml:space="preserve">天津市西青区精武镇才智道与学府东路交口，调查面积44943.4 </w:t>
      </w:r>
      <w:r>
        <w:rPr>
          <w:rFonts w:hint="default"/>
          <w:lang w:val="en-US" w:eastAsia="zh-CN"/>
        </w:rPr>
        <w:t>m</w:t>
      </w:r>
      <w:r>
        <w:rPr>
          <w:rFonts w:hint="default"/>
          <w:vertAlign w:val="superscript"/>
          <w:lang w:val="en-US" w:eastAsia="zh-CN"/>
        </w:rPr>
        <w:t>2</w:t>
      </w:r>
      <w:r>
        <w:rPr>
          <w:rFonts w:hint="eastAsia"/>
          <w:lang w:val="en-US" w:eastAsia="zh-CN"/>
        </w:rPr>
        <w:t xml:space="preserve"> ，地块当前权利人为天津市西青区精武镇人民政府，规划</w:t>
      </w:r>
      <w:r>
        <w:rPr>
          <w:rFonts w:hint="eastAsia"/>
        </w:rPr>
        <w:t>用地性质</w:t>
      </w:r>
      <w:r>
        <w:rPr>
          <w:rFonts w:hint="eastAsia"/>
          <w:lang w:val="en-US" w:eastAsia="zh-CN"/>
        </w:rPr>
        <w:t>为中小学用地。</w:t>
      </w:r>
    </w:p>
    <w:p w14:paraId="3DB3CD31">
      <w:pPr>
        <w:bidi w:val="0"/>
        <w:rPr>
          <w:rFonts w:hint="default"/>
          <w:lang w:val="en-US" w:eastAsia="zh-CN"/>
        </w:rPr>
      </w:pPr>
      <w:r>
        <w:rPr>
          <w:rFonts w:hint="eastAsia" w:cs="Times New Roman"/>
          <w:color w:val="auto"/>
          <w:sz w:val="24"/>
          <w:szCs w:val="24"/>
          <w:highlight w:val="none"/>
          <w:lang w:val="en-US" w:eastAsia="zh-CN"/>
        </w:rPr>
        <w:t>该地块2002年以前为农田，种植小麦和玉米，2002年变为鱼塘，深度约2-3米，2008年左右填平，</w:t>
      </w:r>
      <w:r>
        <w:rPr>
          <w:rFonts w:hint="eastAsia"/>
          <w:lang w:val="en-US" w:eastAsia="zh-CN"/>
        </w:rPr>
        <w:t>填土来自于学府园区内的开挖土（具体位置为现在的潘馨园小区），</w:t>
      </w:r>
      <w:r>
        <w:rPr>
          <w:rFonts w:hint="eastAsia" w:cs="Times New Roman"/>
          <w:color w:val="auto"/>
          <w:sz w:val="24"/>
          <w:szCs w:val="24"/>
          <w:highlight w:val="none"/>
          <w:lang w:val="en-US" w:eastAsia="zh-CN"/>
        </w:rPr>
        <w:t>至今为空地。</w:t>
      </w:r>
      <w:r>
        <w:rPr>
          <w:rFonts w:hint="default" w:ascii="Times New Roman" w:hAnsi="Times New Roman" w:cs="Times New Roman"/>
          <w:color w:val="auto"/>
          <w:sz w:val="24"/>
          <w:szCs w:val="24"/>
          <w:highlight w:val="none"/>
          <w:lang w:val="en-US" w:eastAsia="zh-CN"/>
        </w:rPr>
        <w:t>目前</w:t>
      </w:r>
      <w:r>
        <w:rPr>
          <w:rFonts w:hint="eastAsia" w:cs="Times New Roman"/>
          <w:color w:val="auto"/>
          <w:sz w:val="24"/>
          <w:szCs w:val="24"/>
          <w:highlight w:val="none"/>
          <w:lang w:val="en-US" w:eastAsia="zh-CN"/>
        </w:rPr>
        <w:t>场地内北部和西部有零星小土堆，高约1米左右，地块内有杂草，高约1.5米左右。</w:t>
      </w:r>
    </w:p>
    <w:p w14:paraId="589A45FD">
      <w:pPr>
        <w:bidi w:val="0"/>
        <w:rPr>
          <w:rFonts w:hint="default"/>
          <w:lang w:val="en-US" w:eastAsia="zh-CN"/>
        </w:rPr>
      </w:pPr>
      <w:r>
        <w:rPr>
          <w:rFonts w:hint="default"/>
          <w:lang w:val="en-US" w:eastAsia="zh-CN"/>
        </w:rPr>
        <w:t>地块内历史上未发生过环境污染事件，不涉及有毒有害物质的地下构筑物、储罐、管线以及危废填埋和堆放，也不涉及化学品的储存和堆放。该地块内无排水管或渠、污水池、废物堆放地、井等。地块内无污染和腐蚀的痕迹，无恶臭、化学品味道和刺激性气味。</w:t>
      </w:r>
    </w:p>
    <w:p w14:paraId="40CC4C57">
      <w:pPr>
        <w:rPr>
          <w:rFonts w:hint="eastAsia"/>
          <w:lang w:val="en-US" w:eastAsia="zh-CN"/>
        </w:rPr>
      </w:pPr>
      <w:r>
        <w:rPr>
          <w:rFonts w:hint="default"/>
          <w:color w:val="auto"/>
          <w:lang w:val="en-US" w:eastAsia="zh-CN"/>
        </w:rPr>
        <w:t>经污染识别，</w:t>
      </w:r>
      <w:r>
        <w:rPr>
          <w:rFonts w:hint="eastAsia" w:ascii="Times New Roman" w:hAnsi="Times New Roman" w:cs="Times New Roman"/>
          <w:color w:val="auto"/>
          <w:sz w:val="24"/>
          <w:szCs w:val="24"/>
          <w:highlight w:val="none"/>
          <w:lang w:val="en-US" w:eastAsia="zh-CN"/>
        </w:rPr>
        <w:t>地块历史上作为农田使用，期间主要种植玉米和小麦，施用的化肥主要为氮肥、磷肥等，施用农药主要为敌敌畏、乐果、六六六、滴滴涕等有机磷、有机氯农药。施用的化肥可能含有砷、镉、汞等重金属，可能会造成土壤和地下水中砷、镉、汞等重金属超标；农药敌敌畏、乐果、六六六、滴滴涕等有机磷、有机氯农药的使用可能会在土壤和地下水中残留，从而可能造成土壤和地下水污染。</w:t>
      </w:r>
      <w:r>
        <w:rPr>
          <w:rFonts w:hint="default" w:ascii="Times New Roman" w:hAnsi="Times New Roman" w:cs="Times New Roman"/>
          <w:color w:val="auto"/>
          <w:highlight w:val="none"/>
          <w:lang w:val="en-US" w:eastAsia="zh-CN"/>
        </w:rPr>
        <w:t>地块内曾有养鱼塘，</w:t>
      </w:r>
      <w:r>
        <w:rPr>
          <w:rFonts w:hint="eastAsia" w:ascii="宋体" w:hAnsi="宋体" w:eastAsia="宋体" w:cs="宋体"/>
          <w:color w:val="000000"/>
          <w:kern w:val="0"/>
          <w:sz w:val="24"/>
          <w:szCs w:val="24"/>
          <w:lang w:val="en-US" w:eastAsia="zh-CN" w:bidi="ar"/>
        </w:rPr>
        <w:t>鱼塘杀菌消毒过程中使用的药剂含有硫酸铜、次氯酸等，可能造成铜、氯代烃污染。</w:t>
      </w:r>
      <w:r>
        <w:rPr>
          <w:rFonts w:hint="eastAsia"/>
          <w:lang w:val="en-US" w:eastAsia="zh-CN"/>
        </w:rPr>
        <w:t>地块平整过程中，机械设备使用过程有可能发生机油滴撒遗漏，排放的尾气经大气干湿沉降作用进入土壤，从而造成地块土壤和地下水中石油烃、多环芳烃等污染。</w:t>
      </w:r>
    </w:p>
    <w:p w14:paraId="592ACB1E">
      <w:pPr>
        <w:bidi w:val="0"/>
        <w:rPr>
          <w:rFonts w:hint="default"/>
          <w:color w:val="FF0000"/>
          <w:highlight w:val="none"/>
          <w:lang w:val="en-US" w:eastAsia="zh-CN"/>
        </w:rPr>
      </w:pPr>
      <w:r>
        <w:rPr>
          <w:rFonts w:hint="default" w:ascii="Times New Roman" w:hAnsi="Times New Roman" w:cs="Times New Roman"/>
          <w:color w:val="auto"/>
          <w:sz w:val="24"/>
          <w:szCs w:val="24"/>
          <w:highlight w:val="none"/>
          <w:lang w:val="en-US" w:eastAsia="zh-CN"/>
        </w:rPr>
        <w:t>地块周边800m范围内</w:t>
      </w:r>
      <w:r>
        <w:rPr>
          <w:rFonts w:hint="eastAsia" w:cs="Times New Roman"/>
          <w:color w:val="auto"/>
          <w:sz w:val="24"/>
          <w:szCs w:val="24"/>
          <w:highlight w:val="none"/>
          <w:lang w:val="en-US" w:eastAsia="zh-CN"/>
        </w:rPr>
        <w:t>主要为居住区、大学、科技园，</w:t>
      </w:r>
      <w:r>
        <w:rPr>
          <w:rFonts w:hint="eastAsia"/>
          <w:color w:val="auto"/>
          <w:highlight w:val="none"/>
          <w:lang w:val="en-US" w:eastAsia="zh-CN"/>
        </w:rPr>
        <w:t>地块北侧为爱情缤纷里小区，西北侧为美的旭辉翰悦府小区，西侧为保利和光尘樾小区，东南侧为津沧高速公路。</w:t>
      </w:r>
      <w:r>
        <w:rPr>
          <w:rFonts w:hint="eastAsia" w:cs="Times New Roman"/>
          <w:color w:val="auto"/>
          <w:sz w:val="24"/>
          <w:szCs w:val="24"/>
          <w:highlight w:val="none"/>
          <w:lang w:val="en-US" w:eastAsia="zh-CN"/>
        </w:rPr>
        <w:t>北侧约500米为地铁3号线高新区站，西侧约700米为常青藤文化艺术产业园、蓝晨宏业科技发展有限公司、麦谷学府产业园，南侧约500米为新华国际大学科技园。</w:t>
      </w:r>
    </w:p>
    <w:p w14:paraId="27EA117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Times New Roman" w:hAnsi="Times New Roman" w:cs="Times New Roman"/>
          <w:color w:val="auto"/>
          <w:sz w:val="24"/>
          <w:szCs w:val="24"/>
          <w:highlight w:val="none"/>
          <w:lang w:val="en-US" w:eastAsia="zh-CN"/>
        </w:rPr>
        <w:t>经污染识别，</w:t>
      </w:r>
      <w:r>
        <w:rPr>
          <w:rFonts w:hint="default" w:ascii="Times New Roman" w:hAnsi="Times New Roman" w:cs="Times New Roman"/>
          <w:color w:val="auto"/>
          <w:sz w:val="24"/>
          <w:szCs w:val="24"/>
          <w:highlight w:val="none"/>
        </w:rPr>
        <w:t>地块周边农田使用的农药在喷洒过程中可能会通过大气沉降进入本场地，经大气干湿沉降作用对本地块土壤造成影响；同时受污染土壤中污染物在降水淋溶作用下进入地块地下水，造成地块地下水污染；潜在的污染物主要为重金属及有机农药类。</w:t>
      </w:r>
      <w:r>
        <w:rPr>
          <w:rFonts w:hint="eastAsia" w:ascii="宋体" w:hAnsi="宋体" w:eastAsia="宋体" w:cs="宋体"/>
          <w:color w:val="000000"/>
          <w:kern w:val="0"/>
          <w:sz w:val="24"/>
          <w:szCs w:val="24"/>
          <w:lang w:val="en-US" w:eastAsia="zh-CN" w:bidi="ar"/>
        </w:rPr>
        <w:t>地块周边鱼塘杀菌消毒过程中使用的药剂含有硫酸铜、次氯酸等，可能造成铜、氯代烃污染。地块周边有才智道、学府东路和津沧高速公路，地块周边爱情缤纷里等小区于2020年开始整理建设，建设过程中有车辆运输，车辆可能因燃料不完全燃烧产生的多环芳烃随大气沉降到项目地块，</w:t>
      </w:r>
      <w:r>
        <w:rPr>
          <w:rFonts w:hint="eastAsia" w:ascii="宋体" w:hAnsi="宋体" w:cs="宋体"/>
          <w:color w:val="000000"/>
          <w:kern w:val="0"/>
          <w:sz w:val="24"/>
          <w:szCs w:val="24"/>
          <w:lang w:val="en-US" w:eastAsia="zh-CN" w:bidi="ar"/>
        </w:rPr>
        <w:t>车辆</w:t>
      </w:r>
      <w:r>
        <w:rPr>
          <w:rFonts w:hint="eastAsia" w:ascii="宋体" w:hAnsi="宋体" w:eastAsia="宋体" w:cs="宋体"/>
          <w:color w:val="000000"/>
          <w:kern w:val="0"/>
          <w:sz w:val="24"/>
          <w:szCs w:val="24"/>
          <w:lang w:val="en-US" w:eastAsia="zh-CN" w:bidi="ar"/>
        </w:rPr>
        <w:t>使用的汽柴油可能有跑冒滴漏的风险，机械设备的使用和保养可能产生汽柴油的跑冒滴漏，造成石油烃的污染，这些污染物可能随大气沉降、大气降水淋滤、地下水对流弥散等途径影响本地块。</w:t>
      </w:r>
    </w:p>
    <w:p w14:paraId="129F590F">
      <w:pPr>
        <w:bidi w:val="0"/>
        <w:rPr>
          <w:rFonts w:hint="default"/>
          <w:lang w:val="en-US" w:eastAsia="zh-CN"/>
        </w:rPr>
      </w:pPr>
      <w:r>
        <w:rPr>
          <w:rFonts w:hint="default"/>
          <w:lang w:val="en-US" w:eastAsia="zh-CN"/>
        </w:rPr>
        <w:t>依据导则要求，结合地块历史及现状、污染识别结论和区域水文地质条件，</w:t>
      </w:r>
      <w:r>
        <w:rPr>
          <w:rFonts w:hint="default"/>
          <w:highlight w:val="none"/>
          <w:lang w:val="en-US" w:eastAsia="zh-CN"/>
        </w:rPr>
        <w:t>本次调查采用系统布点法</w:t>
      </w:r>
      <w:r>
        <w:rPr>
          <w:rFonts w:hint="eastAsia"/>
          <w:highlight w:val="none"/>
          <w:lang w:val="en-US" w:eastAsia="zh-CN"/>
        </w:rPr>
        <w:t>加专业判断法</w:t>
      </w:r>
      <w:r>
        <w:rPr>
          <w:rFonts w:hint="default"/>
          <w:highlight w:val="none"/>
          <w:lang w:val="en-US" w:eastAsia="zh-CN"/>
        </w:rPr>
        <w:t>，</w:t>
      </w:r>
      <w:r>
        <w:rPr>
          <w:rFonts w:hint="default"/>
          <w:highlight w:val="none"/>
        </w:rPr>
        <w:t>共布设</w:t>
      </w:r>
      <w:r>
        <w:rPr>
          <w:rFonts w:hint="eastAsia"/>
          <w:highlight w:val="none"/>
          <w:lang w:val="en-US" w:eastAsia="zh-CN"/>
        </w:rPr>
        <w:t>8</w:t>
      </w:r>
      <w:r>
        <w:rPr>
          <w:rFonts w:hint="default"/>
        </w:rPr>
        <w:t>个土壤采样点</w:t>
      </w:r>
      <w:r>
        <w:rPr>
          <w:rFonts w:hint="default"/>
          <w:lang w:eastAsia="zh-CN"/>
        </w:rPr>
        <w:t>，</w:t>
      </w:r>
      <w:r>
        <w:rPr>
          <w:rFonts w:hint="default"/>
          <w:lang w:val="en-US" w:eastAsia="zh-CN"/>
        </w:rPr>
        <w:t>共</w:t>
      </w:r>
      <w:r>
        <w:rPr>
          <w:rFonts w:hint="eastAsia"/>
          <w:lang w:val="en-US" w:eastAsia="zh-CN"/>
        </w:rPr>
        <w:t>36</w:t>
      </w:r>
      <w:r>
        <w:rPr>
          <w:rFonts w:hint="default"/>
          <w:lang w:val="en-US" w:eastAsia="zh-CN"/>
        </w:rPr>
        <w:t>组土壤样品（含</w:t>
      </w:r>
      <w:r>
        <w:rPr>
          <w:rFonts w:hint="eastAsia"/>
          <w:lang w:val="en-US" w:eastAsia="zh-CN"/>
        </w:rPr>
        <w:t>4</w:t>
      </w:r>
      <w:r>
        <w:rPr>
          <w:rFonts w:hint="default"/>
          <w:lang w:val="en-US" w:eastAsia="zh-CN"/>
        </w:rPr>
        <w:t>组平行样），</w:t>
      </w:r>
      <w:r>
        <w:rPr>
          <w:rFonts w:hint="eastAsia"/>
          <w:lang w:val="en-US" w:eastAsia="zh-CN"/>
        </w:rPr>
        <w:t>4</w:t>
      </w:r>
      <w:r>
        <w:rPr>
          <w:rFonts w:hint="default"/>
          <w:lang w:val="en-US" w:eastAsia="zh-CN"/>
        </w:rPr>
        <w:t>个地下水采样点，共</w:t>
      </w:r>
      <w:r>
        <w:rPr>
          <w:rFonts w:hint="eastAsia"/>
          <w:lang w:val="en-US" w:eastAsia="zh-CN"/>
        </w:rPr>
        <w:t>5</w:t>
      </w:r>
      <w:r>
        <w:rPr>
          <w:rFonts w:hint="default"/>
          <w:lang w:val="en-US" w:eastAsia="zh-CN"/>
        </w:rPr>
        <w:t>组地下水样品（含1组平行样），</w:t>
      </w:r>
      <w:r>
        <w:rPr>
          <w:rFonts w:hint="default"/>
        </w:rPr>
        <w:t>全部样品均进行实验室检测。</w:t>
      </w:r>
      <w:r>
        <w:rPr>
          <w:rFonts w:hint="default"/>
          <w:highlight w:val="none"/>
          <w:lang w:val="en-US" w:eastAsia="zh-CN"/>
        </w:rPr>
        <w:t>土壤样品的</w:t>
      </w:r>
      <w:r>
        <w:rPr>
          <w:rFonts w:hint="default"/>
          <w:highlight w:val="none"/>
        </w:rPr>
        <w:t>检测指标包括</w:t>
      </w:r>
      <w:r>
        <w:rPr>
          <w:rFonts w:hint="default" w:ascii="Times New Roman" w:hAnsi="Times New Roman" w:eastAsia="宋体" w:cs="Times New Roman"/>
          <w:color w:val="auto"/>
          <w:kern w:val="0"/>
          <w:sz w:val="24"/>
          <w:szCs w:val="24"/>
          <w:highlight w:val="none"/>
          <w:lang w:val="en-US" w:eastAsia="zh-CN" w:bidi="ar"/>
        </w:rPr>
        <w:t>《土壤环境质量 建设用地土壤污染风险管控标准（试行）》（GB36600-2018）中</w:t>
      </w:r>
      <w:r>
        <w:rPr>
          <w:rFonts w:hint="eastAsia" w:ascii="Times New Roman" w:hAnsi="Times New Roman" w:eastAsia="宋体" w:cs="Times New Roman"/>
          <w:color w:val="auto"/>
          <w:kern w:val="0"/>
          <w:sz w:val="24"/>
          <w:szCs w:val="24"/>
          <w:highlight w:val="none"/>
          <w:lang w:val="en-US" w:eastAsia="zh-CN" w:bidi="ar"/>
        </w:rPr>
        <w:t>表1</w:t>
      </w:r>
      <w:r>
        <w:rPr>
          <w:rFonts w:hint="default" w:ascii="Times New Roman" w:hAnsi="Times New Roman" w:eastAsia="宋体" w:cs="Times New Roman"/>
          <w:color w:val="auto"/>
          <w:kern w:val="0"/>
          <w:sz w:val="24"/>
          <w:szCs w:val="24"/>
          <w:highlight w:val="none"/>
          <w:lang w:val="en-US" w:eastAsia="zh-CN" w:bidi="ar"/>
        </w:rPr>
        <w:t>的45项基本项，</w:t>
      </w:r>
      <w:r>
        <w:rPr>
          <w:rFonts w:hint="eastAsia" w:ascii="Times New Roman" w:hAnsi="Times New Roman" w:eastAsia="宋体" w:cs="Times New Roman"/>
          <w:color w:val="auto"/>
          <w:kern w:val="0"/>
          <w:sz w:val="24"/>
          <w:szCs w:val="24"/>
          <w:highlight w:val="none"/>
          <w:lang w:val="en-US" w:eastAsia="zh-CN" w:bidi="ar"/>
        </w:rPr>
        <w:t>表2中挥发性有机物（4项）、半挥发性有机物（10项）、</w:t>
      </w:r>
      <w:r>
        <w:rPr>
          <w:rFonts w:hint="default" w:ascii="Times New Roman" w:hAnsi="Times New Roman" w:eastAsia="宋体" w:cs="Times New Roman"/>
          <w:color w:val="auto"/>
          <w:kern w:val="0"/>
          <w:sz w:val="24"/>
          <w:szCs w:val="24"/>
          <w:highlight w:val="none"/>
          <w:lang w:val="en-US" w:eastAsia="zh-CN" w:bidi="ar"/>
        </w:rPr>
        <w:t>有机农药类</w:t>
      </w:r>
      <w:r>
        <w:rPr>
          <w:rFonts w:hint="eastAsia" w:ascii="Times New Roman" w:hAnsi="Times New Roman" w:eastAsia="宋体" w:cs="Times New Roman"/>
          <w:color w:val="auto"/>
          <w:kern w:val="0"/>
          <w:sz w:val="24"/>
          <w:szCs w:val="24"/>
          <w:highlight w:val="none"/>
          <w:lang w:val="en-US" w:eastAsia="zh-CN" w:bidi="ar"/>
        </w:rPr>
        <w:t>（14项）</w:t>
      </w:r>
      <w:r>
        <w:rPr>
          <w:rFonts w:hint="eastAsia" w:eastAsia="宋体" w:cs="Times New Roman"/>
          <w:color w:val="auto"/>
          <w:kern w:val="0"/>
          <w:sz w:val="24"/>
          <w:szCs w:val="24"/>
          <w:highlight w:val="none"/>
          <w:lang w:val="en-US" w:eastAsia="zh-CN" w:bidi="ar"/>
        </w:rPr>
        <w:t>和</w:t>
      </w:r>
      <w:r>
        <w:rPr>
          <w:rFonts w:hint="default" w:ascii="Times New Roman" w:hAnsi="Times New Roman" w:eastAsia="宋体" w:cs="Times New Roman"/>
          <w:color w:val="auto"/>
          <w:kern w:val="0"/>
          <w:sz w:val="24"/>
          <w:szCs w:val="24"/>
          <w:highlight w:val="none"/>
          <w:lang w:val="en-US" w:eastAsia="zh-CN" w:bidi="ar"/>
        </w:rPr>
        <w:t>石油烃（C</w:t>
      </w:r>
      <w:r>
        <w:rPr>
          <w:rFonts w:hint="default" w:ascii="Times New Roman" w:hAnsi="Times New Roman" w:eastAsia="宋体" w:cs="Times New Roman"/>
          <w:color w:val="auto"/>
          <w:kern w:val="0"/>
          <w:sz w:val="24"/>
          <w:szCs w:val="24"/>
          <w:highlight w:val="none"/>
          <w:vertAlign w:val="subscript"/>
          <w:lang w:val="en-US" w:eastAsia="zh-CN" w:bidi="ar"/>
        </w:rPr>
        <w:t>10</w:t>
      </w:r>
      <w:r>
        <w:rPr>
          <w:rFonts w:hint="default" w:ascii="Times New Roman" w:hAnsi="Times New Roman" w:eastAsia="宋体" w:cs="Times New Roman"/>
          <w:color w:val="auto"/>
          <w:kern w:val="0"/>
          <w:sz w:val="24"/>
          <w:szCs w:val="24"/>
          <w:highlight w:val="none"/>
          <w:lang w:val="en-US" w:eastAsia="zh-CN" w:bidi="ar"/>
        </w:rPr>
        <w:t>-C</w:t>
      </w:r>
      <w:r>
        <w:rPr>
          <w:rFonts w:hint="default" w:ascii="Times New Roman" w:hAnsi="Times New Roman" w:eastAsia="宋体" w:cs="Times New Roman"/>
          <w:color w:val="auto"/>
          <w:kern w:val="0"/>
          <w:sz w:val="24"/>
          <w:szCs w:val="24"/>
          <w:highlight w:val="none"/>
          <w:vertAlign w:val="subscript"/>
          <w:lang w:val="en-US" w:eastAsia="zh-CN" w:bidi="ar"/>
        </w:rPr>
        <w:t>40</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其它选测项包括pH值</w:t>
      </w:r>
      <w:r>
        <w:rPr>
          <w:rFonts w:hint="default"/>
          <w:lang w:val="en-US" w:eastAsia="zh-CN"/>
        </w:rPr>
        <w:t>。地下水样品检测参数与土壤样品检测参数相同。</w:t>
      </w:r>
    </w:p>
    <w:p w14:paraId="2A0EE324">
      <w:pPr>
        <w:bidi w:val="0"/>
        <w:rPr>
          <w:rFonts w:hint="default"/>
          <w:lang w:val="en-US" w:eastAsia="zh-CN"/>
        </w:rPr>
      </w:pPr>
      <w:r>
        <w:rPr>
          <w:rFonts w:hint="default"/>
          <w:lang w:val="en-US" w:eastAsia="zh-CN"/>
        </w:rPr>
        <w:t>根据样品检测结果可知：</w:t>
      </w:r>
    </w:p>
    <w:p w14:paraId="01C00740">
      <w:pPr>
        <w:bidi w:val="0"/>
        <w:rPr>
          <w:rFonts w:hint="default"/>
          <w:lang w:val="en-US" w:eastAsia="zh-CN"/>
        </w:rPr>
      </w:pPr>
      <w:r>
        <w:rPr>
          <w:rFonts w:hint="default"/>
          <w:lang w:val="en-US" w:eastAsia="zh-CN"/>
        </w:rPr>
        <w:t>1、地块内土壤</w:t>
      </w:r>
      <w:r>
        <w:rPr>
          <w:rFonts w:hint="default"/>
        </w:rPr>
        <w:t>pH值</w:t>
      </w:r>
      <w:r>
        <w:rPr>
          <w:rFonts w:hint="default"/>
          <w:lang w:val="en-US" w:eastAsia="zh-CN"/>
        </w:rPr>
        <w:t>范围</w:t>
      </w:r>
      <w:r>
        <w:rPr>
          <w:rFonts w:hint="default"/>
        </w:rPr>
        <w:t>为</w:t>
      </w:r>
      <w:r>
        <w:rPr>
          <w:rFonts w:hint="eastAsia"/>
          <w:lang w:val="en-US" w:eastAsia="zh-CN"/>
        </w:rPr>
        <w:t>8.21-8.69，</w:t>
      </w:r>
      <w:r>
        <w:rPr>
          <w:rFonts w:hint="default"/>
          <w:lang w:val="en-US" w:eastAsia="zh-CN"/>
        </w:rPr>
        <w:t>土壤中重金属（铜、镍、铅、砷、镉和汞）和石油烃（C</w:t>
      </w:r>
      <w:r>
        <w:rPr>
          <w:rFonts w:hint="default"/>
          <w:vertAlign w:val="subscript"/>
          <w:lang w:val="en-US" w:eastAsia="zh-CN"/>
        </w:rPr>
        <w:t>10</w:t>
      </w:r>
      <w:r>
        <w:rPr>
          <w:rFonts w:hint="default"/>
          <w:lang w:val="en-US" w:eastAsia="zh-CN"/>
        </w:rPr>
        <w:t>-C</w:t>
      </w:r>
      <w:r>
        <w:rPr>
          <w:rFonts w:hint="default"/>
          <w:vertAlign w:val="subscript"/>
          <w:lang w:val="en-US" w:eastAsia="zh-CN"/>
        </w:rPr>
        <w:t>40</w:t>
      </w:r>
      <w:r>
        <w:rPr>
          <w:rFonts w:hint="default"/>
          <w:lang w:val="en-US" w:eastAsia="zh-CN"/>
        </w:rPr>
        <w:t>）检出值均不超过《土壤环境质量 建设用地土壤污染风险管控标准（试行）》（GB 36600-2018）</w:t>
      </w:r>
      <w:r>
        <w:rPr>
          <w:rFonts w:hint="eastAsia"/>
          <w:lang w:val="en-US" w:eastAsia="zh-CN"/>
        </w:rPr>
        <w:t>第一类</w:t>
      </w:r>
      <w:r>
        <w:rPr>
          <w:rFonts w:hint="default"/>
          <w:lang w:val="en-US" w:eastAsia="zh-CN"/>
        </w:rPr>
        <w:t>用地土壤污染风险筛选值。六价铬、挥发性有机物</w:t>
      </w:r>
      <w:r>
        <w:rPr>
          <w:rFonts w:hint="eastAsia"/>
          <w:lang w:val="en-US" w:eastAsia="zh-CN"/>
        </w:rPr>
        <w:t>、</w:t>
      </w:r>
      <w:r>
        <w:rPr>
          <w:rFonts w:hint="default"/>
          <w:lang w:val="en-US" w:eastAsia="zh-CN"/>
        </w:rPr>
        <w:t>半挥发性有机物</w:t>
      </w:r>
      <w:r>
        <w:rPr>
          <w:rFonts w:hint="eastAsia"/>
          <w:lang w:val="en-US" w:eastAsia="zh-CN"/>
        </w:rPr>
        <w:t>、有机农药</w:t>
      </w:r>
      <w:r>
        <w:rPr>
          <w:rFonts w:hint="default"/>
          <w:lang w:val="en-US" w:eastAsia="zh-CN"/>
        </w:rPr>
        <w:t>含量均不超过方法检出限。因此，所有采集的土壤样品的检测指标均不超标。</w:t>
      </w:r>
    </w:p>
    <w:p w14:paraId="6E266713">
      <w:pPr>
        <w:bidi w:val="0"/>
        <w:rPr>
          <w:rFonts w:hint="default"/>
          <w:lang w:val="en-US" w:eastAsia="zh-CN"/>
        </w:rPr>
      </w:pPr>
      <w:r>
        <w:rPr>
          <w:rFonts w:hint="default"/>
          <w:lang w:val="en-US" w:eastAsia="zh-CN"/>
        </w:rPr>
        <w:t>2、地下水样品pH值在</w:t>
      </w:r>
      <w:r>
        <w:rPr>
          <w:rFonts w:hint="eastAsia"/>
          <w:lang w:val="en-US" w:eastAsia="zh-CN"/>
        </w:rPr>
        <w:t>8.1</w:t>
      </w:r>
      <w:r>
        <w:rPr>
          <w:rFonts w:hint="default"/>
          <w:lang w:val="en-US" w:eastAsia="zh-CN"/>
        </w:rPr>
        <w:t>-</w:t>
      </w:r>
      <w:r>
        <w:rPr>
          <w:rFonts w:hint="eastAsia"/>
          <w:lang w:val="en-US" w:eastAsia="zh-CN"/>
        </w:rPr>
        <w:t>8.5</w:t>
      </w:r>
      <w:r>
        <w:rPr>
          <w:rFonts w:hint="default"/>
          <w:lang w:val="en-US" w:eastAsia="zh-CN"/>
        </w:rPr>
        <w:t>之间</w:t>
      </w:r>
      <w:r>
        <w:rPr>
          <w:rFonts w:hint="eastAsia"/>
          <w:lang w:val="en-US" w:eastAsia="zh-CN"/>
        </w:rPr>
        <w:t>，</w:t>
      </w:r>
      <w:r>
        <w:rPr>
          <w:rFonts w:hint="default"/>
          <w:lang w:val="en-US" w:eastAsia="zh-CN"/>
        </w:rPr>
        <w:t>重金属砷、镉、铜、镍、铅检出值均不超过《地下水质量标准》（GB/T</w:t>
      </w:r>
      <w:r>
        <w:rPr>
          <w:rFonts w:hint="eastAsia"/>
          <w:lang w:val="en-US" w:eastAsia="zh-CN"/>
        </w:rPr>
        <w:t xml:space="preserve"> </w:t>
      </w:r>
      <w:r>
        <w:rPr>
          <w:rFonts w:hint="default"/>
          <w:lang w:val="en-US" w:eastAsia="zh-CN"/>
        </w:rPr>
        <w:t>14848-2017）中Ⅳ类限值。汞</w:t>
      </w:r>
      <w:r>
        <w:rPr>
          <w:rFonts w:hint="eastAsia"/>
          <w:lang w:val="en-US" w:eastAsia="zh-CN"/>
        </w:rPr>
        <w:t>、</w:t>
      </w:r>
      <w:r>
        <w:rPr>
          <w:rFonts w:hint="default"/>
          <w:lang w:val="en-US" w:eastAsia="zh-CN"/>
        </w:rPr>
        <w:t>六价铬、挥发性有机物</w:t>
      </w:r>
      <w:r>
        <w:rPr>
          <w:rFonts w:hint="eastAsia"/>
          <w:lang w:val="en-US" w:eastAsia="zh-CN"/>
        </w:rPr>
        <w:t>、</w:t>
      </w:r>
      <w:r>
        <w:rPr>
          <w:rFonts w:hint="default"/>
          <w:lang w:val="en-US" w:eastAsia="zh-CN"/>
        </w:rPr>
        <w:t>半挥发性有机物</w:t>
      </w:r>
      <w:r>
        <w:rPr>
          <w:rFonts w:hint="eastAsia"/>
          <w:lang w:val="en-US" w:eastAsia="zh-CN"/>
        </w:rPr>
        <w:t>、有机农药</w:t>
      </w:r>
      <w:r>
        <w:rPr>
          <w:rFonts w:hint="default"/>
          <w:lang w:val="en-US" w:eastAsia="zh-CN"/>
        </w:rPr>
        <w:t>含量均不超过方法检出限。石油烃（C</w:t>
      </w:r>
      <w:r>
        <w:rPr>
          <w:rFonts w:hint="default"/>
          <w:vertAlign w:val="subscript"/>
          <w:lang w:val="en-US" w:eastAsia="zh-CN"/>
        </w:rPr>
        <w:t>10</w:t>
      </w:r>
      <w:r>
        <w:rPr>
          <w:rFonts w:hint="default"/>
          <w:lang w:val="en-US" w:eastAsia="zh-CN"/>
        </w:rPr>
        <w:t>-C</w:t>
      </w:r>
      <w:r>
        <w:rPr>
          <w:rFonts w:hint="default"/>
          <w:vertAlign w:val="subscript"/>
          <w:lang w:val="en-US" w:eastAsia="zh-CN"/>
        </w:rPr>
        <w:t>40</w:t>
      </w:r>
      <w:r>
        <w:rPr>
          <w:rFonts w:hint="default"/>
          <w:lang w:val="en-US" w:eastAsia="zh-CN"/>
        </w:rPr>
        <w:t>）含量不超过《上海市建设用地土壤污染状况调查、风险评估、风险管控与修复方案编制、风险管控与修复效果评估工作的补充规定（试行）》规定的</w:t>
      </w:r>
      <w:r>
        <w:rPr>
          <w:rFonts w:hint="eastAsia"/>
          <w:lang w:val="en-US" w:eastAsia="zh-CN"/>
        </w:rPr>
        <w:t>第一类</w:t>
      </w:r>
      <w:r>
        <w:rPr>
          <w:rFonts w:hint="default"/>
          <w:lang w:val="en-US" w:eastAsia="zh-CN"/>
        </w:rPr>
        <w:t>用地筛选值。因此，所有地下水样品的检测指标均不超标。</w:t>
      </w:r>
    </w:p>
    <w:p w14:paraId="14010BE0">
      <w:pPr>
        <w:bidi w:val="0"/>
        <w:rPr>
          <w:rFonts w:hint="default"/>
          <w:b/>
          <w:bCs/>
        </w:rPr>
      </w:pPr>
      <w:r>
        <w:rPr>
          <w:rFonts w:hint="default"/>
          <w:b/>
          <w:bCs/>
        </w:rPr>
        <w:t>综上，</w:t>
      </w:r>
      <w:r>
        <w:rPr>
          <w:rFonts w:hint="default"/>
          <w:b/>
          <w:bCs/>
          <w:lang w:eastAsia="zh-CN"/>
        </w:rPr>
        <w:t>本地块土壤污染物含量不超过</w:t>
      </w:r>
      <w:r>
        <w:rPr>
          <w:rFonts w:hint="default"/>
          <w:b/>
          <w:bCs/>
        </w:rPr>
        <w:t>《土壤环境质量建设用地土壤污染风险管控标准（试行）》（GB</w:t>
      </w:r>
      <w:r>
        <w:rPr>
          <w:rFonts w:hint="eastAsia"/>
          <w:b/>
          <w:bCs/>
          <w:lang w:val="en-US" w:eastAsia="zh-CN"/>
        </w:rPr>
        <w:t xml:space="preserve"> </w:t>
      </w:r>
      <w:r>
        <w:rPr>
          <w:rFonts w:hint="default"/>
          <w:b/>
          <w:bCs/>
        </w:rPr>
        <w:t>36600-2018）中</w:t>
      </w:r>
      <w:r>
        <w:rPr>
          <w:rFonts w:hint="eastAsia"/>
          <w:b/>
          <w:bCs/>
          <w:lang w:eastAsia="zh-CN"/>
        </w:rPr>
        <w:t>第一类</w:t>
      </w:r>
      <w:r>
        <w:rPr>
          <w:rFonts w:hint="default"/>
          <w:b/>
          <w:bCs/>
          <w:lang w:eastAsia="zh-CN"/>
        </w:rPr>
        <w:t>建设用地土壤污染风险筛选值</w:t>
      </w:r>
      <w:r>
        <w:rPr>
          <w:rFonts w:hint="default"/>
          <w:b/>
          <w:bCs/>
          <w:lang w:val="en-US" w:eastAsia="zh-CN"/>
        </w:rPr>
        <w:t>；地下水中的石油烃（C</w:t>
      </w:r>
      <w:r>
        <w:rPr>
          <w:rFonts w:hint="default"/>
          <w:b/>
          <w:bCs/>
          <w:vertAlign w:val="subscript"/>
          <w:lang w:val="en-US" w:eastAsia="zh-CN"/>
        </w:rPr>
        <w:t>10</w:t>
      </w:r>
      <w:r>
        <w:rPr>
          <w:rFonts w:hint="default"/>
          <w:b/>
          <w:bCs/>
          <w:lang w:val="en-US" w:eastAsia="zh-CN"/>
        </w:rPr>
        <w:t>-C</w:t>
      </w:r>
      <w:r>
        <w:rPr>
          <w:rFonts w:hint="default"/>
          <w:b/>
          <w:bCs/>
          <w:vertAlign w:val="subscript"/>
          <w:lang w:val="en-US" w:eastAsia="zh-CN"/>
        </w:rPr>
        <w:t>40</w:t>
      </w:r>
      <w:r>
        <w:rPr>
          <w:rFonts w:hint="default"/>
          <w:b/>
          <w:bCs/>
          <w:lang w:val="en-US" w:eastAsia="zh-CN"/>
        </w:rPr>
        <w:t>）含量不超过《上海市建设用地土壤污染状况调查、风险评估、风险管控与修复方案编制、风险管控与修复效果评估工作的补充规定（试行）》规定的</w:t>
      </w:r>
      <w:r>
        <w:rPr>
          <w:rFonts w:hint="eastAsia"/>
          <w:b/>
          <w:bCs/>
          <w:lang w:val="en-US" w:eastAsia="zh-CN"/>
        </w:rPr>
        <w:t>第一类</w:t>
      </w:r>
      <w:r>
        <w:rPr>
          <w:rFonts w:hint="default"/>
          <w:b/>
          <w:bCs/>
          <w:lang w:val="en-US" w:eastAsia="zh-CN"/>
        </w:rPr>
        <w:t>用地筛选值，地下水中的其他污染物含量不超过《地下水质量标准》（GB/T</w:t>
      </w:r>
      <w:r>
        <w:rPr>
          <w:rFonts w:hint="eastAsia"/>
          <w:b/>
          <w:bCs/>
          <w:lang w:val="en-US" w:eastAsia="zh-CN"/>
        </w:rPr>
        <w:t xml:space="preserve"> </w:t>
      </w:r>
      <w:r>
        <w:rPr>
          <w:rFonts w:hint="default"/>
          <w:b/>
          <w:bCs/>
          <w:lang w:val="en-US" w:eastAsia="zh-CN"/>
        </w:rPr>
        <w:t>14848-2017）规定的IV类限值。</w:t>
      </w:r>
      <w:r>
        <w:rPr>
          <w:rFonts w:hint="eastAsia"/>
          <w:b/>
          <w:bCs/>
          <w:lang w:val="en-US" w:eastAsia="zh-CN"/>
        </w:rPr>
        <w:t>该地块</w:t>
      </w:r>
      <w:r>
        <w:rPr>
          <w:rFonts w:hint="default"/>
          <w:b/>
          <w:bCs/>
        </w:rPr>
        <w:t>不属于污染地块</w:t>
      </w:r>
      <w:r>
        <w:rPr>
          <w:rFonts w:hint="default"/>
          <w:b/>
          <w:bCs/>
          <w:lang w:eastAsia="zh-CN"/>
        </w:rPr>
        <w:t>，</w:t>
      </w:r>
      <w:r>
        <w:rPr>
          <w:rFonts w:hint="eastAsia"/>
          <w:b/>
          <w:bCs/>
          <w:lang w:val="en-US" w:eastAsia="zh-CN"/>
        </w:rPr>
        <w:t>符合未来作为</w:t>
      </w:r>
      <w:r>
        <w:rPr>
          <w:rFonts w:hint="eastAsia"/>
          <w:b/>
          <w:bCs/>
          <w:lang w:eastAsia="zh-CN"/>
        </w:rPr>
        <w:t>第一类</w:t>
      </w:r>
      <w:r>
        <w:rPr>
          <w:rFonts w:hint="default"/>
          <w:b/>
          <w:bCs/>
          <w:lang w:eastAsia="zh-CN"/>
        </w:rPr>
        <w:t>建设用地</w:t>
      </w:r>
      <w:r>
        <w:rPr>
          <w:rFonts w:hint="eastAsia"/>
          <w:b/>
          <w:bCs/>
          <w:lang w:val="en-US" w:eastAsia="zh-CN"/>
        </w:rPr>
        <w:t>中的中小学用地的环境质量要求</w:t>
      </w:r>
      <w:r>
        <w:rPr>
          <w:rFonts w:hint="default"/>
          <w:b/>
          <w:bCs/>
        </w:rPr>
        <w:t>。</w:t>
      </w:r>
    </w:p>
    <w:p w14:paraId="015A3E39">
      <w:pPr>
        <w:ind w:left="0" w:leftChars="0" w:firstLine="0" w:firstLineChars="0"/>
        <w:rPr>
          <w:rFonts w:hint="eastAsia"/>
          <w:lang w:val="en-US" w:eastAsia="zh-CN"/>
        </w:rPr>
      </w:pPr>
      <w:bookmarkStart w:id="18" w:name="_GoBack"/>
      <w:bookmarkEnd w:id="18"/>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F1">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222D">
    <w:pPr>
      <w:pStyle w:val="6"/>
      <w:spacing w:before="0" w:beforeLines="0" w:after="0" w:afterLines="0"/>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2CF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D144">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72AA">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9606B">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19606B">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D6AB">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BB8C">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23F7">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128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52654"/>
    <w:multiLevelType w:val="multilevel"/>
    <w:tmpl w:val="F8752654"/>
    <w:lvl w:ilvl="0" w:tentative="0">
      <w:start w:val="1"/>
      <w:numFmt w:val="decimal"/>
      <w:pStyle w:val="2"/>
      <w:lvlText w:val="%1"/>
      <w:lvlJc w:val="left"/>
      <w:pPr>
        <w:ind w:left="425" w:hanging="425"/>
      </w:pPr>
    </w:lvl>
    <w:lvl w:ilvl="1" w:tentative="0">
      <w:start w:val="1"/>
      <w:numFmt w:val="decimal"/>
      <w:lvlText w:val="%1.%2"/>
      <w:lvlJc w:val="left"/>
      <w:pPr>
        <w:tabs>
          <w:tab w:val="left" w:pos="420"/>
        </w:tabs>
        <w:ind w:left="1417"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276"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MjljNTlhZjZhNjEyNjJkMWE4OWRhYzJmZmEzOWUifQ=="/>
  </w:docVars>
  <w:rsids>
    <w:rsidRoot w:val="00000000"/>
    <w:rsid w:val="09666ABB"/>
    <w:rsid w:val="0AD007F3"/>
    <w:rsid w:val="0BC40B44"/>
    <w:rsid w:val="0E5A0440"/>
    <w:rsid w:val="15D47FCB"/>
    <w:rsid w:val="178859F3"/>
    <w:rsid w:val="17B40E6D"/>
    <w:rsid w:val="1B536D59"/>
    <w:rsid w:val="1E6426C7"/>
    <w:rsid w:val="20425F4E"/>
    <w:rsid w:val="235958FF"/>
    <w:rsid w:val="23D518B5"/>
    <w:rsid w:val="2E623B83"/>
    <w:rsid w:val="2EA20841"/>
    <w:rsid w:val="2EA9088F"/>
    <w:rsid w:val="3CCB2476"/>
    <w:rsid w:val="43FD7B7C"/>
    <w:rsid w:val="44245A83"/>
    <w:rsid w:val="4586598F"/>
    <w:rsid w:val="4A6609C9"/>
    <w:rsid w:val="53844374"/>
    <w:rsid w:val="574E35DC"/>
    <w:rsid w:val="57F91A7C"/>
    <w:rsid w:val="58EC10C3"/>
    <w:rsid w:val="5D532C4B"/>
    <w:rsid w:val="60A35BAB"/>
    <w:rsid w:val="66853B29"/>
    <w:rsid w:val="6C1F0CF3"/>
    <w:rsid w:val="6D556DEA"/>
    <w:rsid w:val="729055BB"/>
    <w:rsid w:val="736418AC"/>
    <w:rsid w:val="74FF31B3"/>
    <w:rsid w:val="75B710B1"/>
    <w:rsid w:val="777504B6"/>
    <w:rsid w:val="7BA6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5" w:beforeLines="25" w:after="25" w:afterLines="25"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numPr>
        <w:ilvl w:val="0"/>
        <w:numId w:val="1"/>
      </w:numPr>
      <w:spacing w:before="100" w:beforeLines="100" w:after="50" w:afterLines="50" w:line="360" w:lineRule="auto"/>
      <w:ind w:left="0" w:firstLine="0" w:firstLineChars="0"/>
      <w:jc w:val="center"/>
      <w:outlineLvl w:val="0"/>
    </w:pPr>
    <w:rPr>
      <w:rFonts w:eastAsia="黑体"/>
      <w:b/>
      <w:kern w:val="44"/>
      <w:sz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styleId="4">
    <w:name w:val="toc 1"/>
    <w:basedOn w:val="1"/>
    <w:next w:val="1"/>
    <w:qFormat/>
    <w:uiPriority w:val="39"/>
    <w:pPr>
      <w:tabs>
        <w:tab w:val="left" w:pos="284"/>
        <w:tab w:val="right" w:leader="dot" w:pos="8296"/>
      </w:tabs>
      <w:ind w:firstLine="0" w:firstLineChars="0"/>
    </w:pPr>
  </w:style>
  <w:style w:type="paragraph" w:styleId="5">
    <w:name w:val="Body Text"/>
    <w:basedOn w:val="1"/>
    <w:qFormat/>
    <w:uiPriority w:val="0"/>
    <w:pPr>
      <w:spacing w:after="120" w:afterLines="0" w:afterAutospacing="0"/>
    </w:p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able of figures"/>
    <w:basedOn w:val="1"/>
    <w:next w:val="1"/>
    <w:qFormat/>
    <w:uiPriority w:val="0"/>
    <w:pPr>
      <w:ind w:leftChars="200" w:hanging="200" w:hangingChars="200"/>
    </w:pPr>
  </w:style>
  <w:style w:type="character" w:customStyle="1" w:styleId="11">
    <w:name w:val="fontstyle01"/>
    <w:qFormat/>
    <w:uiPriority w:val="0"/>
    <w:rPr>
      <w:rFonts w:hint="default" w:ascii="CIDFont+F1" w:hAnsi="CIDFont+F1"/>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2275</Words>
  <Characters>2412</Characters>
  <Lines>0</Lines>
  <Paragraphs>0</Paragraphs>
  <TotalTime>1</TotalTime>
  <ScaleCrop>false</ScaleCrop>
  <LinksUpToDate>false</LinksUpToDate>
  <CharactersWithSpaces>2421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2021-10-12T07:54:00Z</dcterms:created>
  <dc:creator>SY</dc:creator>
  <cp:lastModifiedBy>Heart sea</cp:lastModifiedBy>
  <dcterms:modified xsi:type="dcterms:W3CDTF">2025-10-23T08:10:37Z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BA7928EC293F4741858B7F69B2932CE2_13</vt:lpwstr>
  </property>
  <property fmtid="{D5CDD505-2E9C-101B-9397-08002B2CF9AE}" pid="4" name="KSOTemplateDocerSaveRecord">
    <vt:lpwstr>eyJoZGlkIjoiMTU2MWM4MzY2NzQzZmNkMDVkMmQ5Mjk3Mzk1OTkxYTMiLCJ1c2VySWQiOiI0MDk4MTQ4NDMifQ==</vt:lpwstr>
  </property>
</Properties>
</file>